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51 vom 12. Mai 2023</w:t>
      </w:r>
    </w:p>
    <w:p>
      <w:r>
        <w:t>VS Kantonsgericht, 2023-05-12, DE</w:t>
      </w:r>
    </w:p>
    <w:p>
      <w:r>
        <w:rPr>
          <w:b/>
        </w:rPr>
        <w:t xml:space="preserve">Quelle: </w:t>
      </w:r>
      <w:r>
        <w:t>https://mcp.opencaselaw.ch/entscheid/vs_gerichte_C3 22 51</w:t>
      </w:r>
    </w:p>
    <w:p>
      <w:r>
        <w:t>FR: VS_GERICHTE C3 22 51 du 12 mai 2023</w:t>
      </w:r>
    </w:p>
    <w:p>
      <w:r>
        <w:t>IT: VS_GERICHTE C3 22 51 del 12 maggio 2023</w:t>
      </w:r>
    </w:p>
    <w:p>
      <w:pPr>
        <w:pStyle w:val="Heading2"/>
      </w:pPr>
      <w:r>
        <w:t>Regeste</w:t>
      </w:r>
    </w:p>
    <w:p>
      <w:r>
        <w:t>Mit Urteil vom 12. Mai 2023 (5A_250/2023) trat das Bundesgericht auf eine gegen vorlie- genden Entscheid gerichtete Beschwerde in Zivilsachen nicht ein. C3 22 51 ENTSCHEID VOM 10. MÄRZ 2023 Kantonsgericht Wallis Zivilkammer Dr. Lionel Seeberger, Einzelrichter; Marion Leiggener, Gerichtsschreiberin in Sachen X _________, Gesuchsgegner und Beschwerdeführer, vertreten durch Rechtsanwalt Fabian Williner, 3930 Visp gegen EINWOHNERGEMEINDE Y _________, Gesuchstellerin und Beschwerdegegnerin, vertreten durch Rechtsanwalt David Gruber, 3930 Visp (definitive Rechtsöffnung) Beschwerde gegen den Entscheid des Bezirksgerichts Leuk und Westlich-Raron vom 22. März 2022 [BK 22 11]</w:t>
      </w:r>
    </w:p>
    <w:p>
      <w:pPr>
        <w:pStyle w:val="Heading2"/>
      </w:pPr>
      <w:r>
        <w:t>Erwägungen</w:t>
      </w:r>
    </w:p>
    <w:p>
      <w:r>
        <w:rPr>
          <w:b/>
        </w:rPr>
        <w:t>E. 2.1</w:t>
      </w:r>
    </w:p>
    <w:p>
      <w:r>
        <w:t>Anlass der vorliegenden Beschwerde bildet die Erteilung der definitiven Rechtöff- nung gestützt auf die Verfügung der Einwohnergemeinde Y _________ vom 11. Februar 2021. Der Beschwerdeführer macht die Nichtigkeit dieser Verfügung geltend. Er wendet dagegen zusammengefasst und im Wesentlichen ein, die Vorinstanz verkenne, dass die Beschwerdegegnerin auf der Rückerstattungsverfügung unter den eingesehenen Doku- menten keinen Gemeinderatsbeschluss angeführt habe. Es könne demnach nicht davon ausgegangen werden, dass ein solcher Entscheid durch den Gesamtgemeinderat gefällt worden sei. Es werde standartmässig «verfügt die Gemeinde Y _________ wie folgt:» eingefügt. Aus diesem Satz zu schliessen, dass die Verfügung durch den Gesamtge- meinderat erlassen worden sei, sei reine Mutmassung, entbehre jeglicher Grundlage und sei willkürlich. Gemäss Verfügung existiere somit kein entsprechender Beschluss. Wenn kein solcher Beschluss existiere, hätten der Gemeindepräsident und der Schreiber ei- genmächtig entschieden. Diese seien nicht zum Erlass einer Verfügung zuständig.</w:t>
      </w:r>
    </w:p>
    <w:p>
      <w:r>
        <w:rPr>
          <w:b/>
        </w:rPr>
        <w:t>E. 2.2</w:t>
      </w:r>
    </w:p>
    <w:p>
      <w:r>
        <w:t>Die definitive Rechtsöffnung kann verlangt werden, wenn die Forderung auf einem vollstreckbaren gerichtlichen Entscheid beruht (Art. 80 Abs. 1 SchKG). Dabei sind Ver- fügungen schweizerischer Verwaltungsbehörden den gerichtlichen Entscheiden von Ge- setzes wegen gleichgestellt (Art. 80 Abs. 2 Ziff. 2 SchKG). Zur definitiven Rechtsöffnung genügt an sich die Vollstreckbarkeit der Verfügung, ohne dass Rechtskraft vorliegen muss. Dies gilt jedoch nur, soweit nicht das einschlägige öffentliche Recht Rechtskraft als Voraussetzung der Vollstreckbarkeit fordert (vgl. Bundesgerichtsurteil 5A_45/2018</w:t>
      </w:r>
    </w:p>
    <w:p>
      <w:r>
        <w:t>- 5 - vom 18. Juli 2018 E. 2.3.1 mit Hinweisen; Staehelin, Basler Kommentar, 3. A., 2021, N. 110 zu Art. 80 SchKG). Gemäss Art. 81 Abs. 1 SchKG ist die definitive Rechtsöffnung zu erteilen, wenn der Schuldner nicht den Urkundenbeweis für die Tilgung oder Stundung der Forderung er- bringt oder mit Erfolg deren Verjährung anruft. Demgegenüber ist es nicht Sache des Rechtsöffnungsgerichtes, den Rechtsöffnungstitel materiell zu überprüfen. Die Kognition des Rechtsöffnungsgerichtes ist in Bezug auf die inhaltliche Prüfung des Titels darauf beschränkt, ob der Rechtsöffnungstitel nichtig ist (Staehelin, a.a.O., N. 128 zu Art. 80 SchKG). Die Nichtigkeit eines staatlichen Aktes ist nicht leichthin anzunehmen. In der Regel ist eine fehlerhafte Verfügung lediglich anfechtbar, d.h. sie ist grundsätzlich wirk- sam, kann jedoch innert einer bestimmten Frist in einem förmlichen Verfahren von den Betroffenen angefochten und auf Anfechtung hin von der zuständigen Behörde aufge- hoben oder geändert werden. Nichtigkeit, d.h. absolute Unwirksamkeit einer Verfügung wird nur angenommen, wenn der ihr anhaftende Mangel besonders schwer wiegt, wenn er offensichtlich oder zumindest leicht erkennbar ist und wenn zudem die Rechtssicher- heit durch die Annahme der Nichtigkeit nicht ernsthaft gefährdet wird (BGE 147 IV 93 E. 1.4.4, 139 II 243 E. 11.2, 138 III 49 E. 4.4.3, 132 II 21 E. 3.1; Bundesgerichtsurteil 5D_195/2021 vom 28. Februar 2022 E. 2.2).</w:t>
      </w:r>
    </w:p>
    <w:p>
      <w:r>
        <w:rPr>
          <w:b/>
        </w:rPr>
        <w:t>E. 2.3</w:t>
      </w:r>
    </w:p>
    <w:p>
      <w:r>
        <w:t>Der Beschwerdeführer vermag mit seinen Vorbringen nicht durchzudringen. Denn schwerwiegende Zuständigkeitsfehler, die allenfalls eine absolute Nichtigkeit begründen könnten, sind vorliegend nicht ersichtlich. Aufgrund des Dispositivs mit dem Wortlaut «[…] verfügt die Gemeinde Y _________ wie folgt […]» kann ohne Weiteres davon aus- gegangen werden, dass der Gesamtgemeinderat darüber befunden hat, auch wenn der entsprechende Gemeinderatsbeschluss in der Verfügung nicht erwähnt und auch im Be- treibungsverfahren nicht beigelegt wurde. Rechtsöffnungstitel bildet einzig die rechts- kräftige Verfügung. Es ist nicht vorgesehen, dass die Grundlagen der Verfügung bzw. weitere Urkunden im Rechtsöffnungsverfahren einzubringen sind. Gestützt auf Art. 97 Abs. 1 des Gemeindegesetzes vom 5. Februar 2004 (GemG; SGS/VS 175.1) müssen amtliche Urkunden der öffentlich-rechtlichen Gemeinwesen im Übrigen einzig mit den Unterschriften ihres Präsidenten und ihres Sekretärs oder ihrer bezeichneten Vertreter versehen sein. Eine Unterzeichnung des Gesamtgemeinderates ist damit gesetzlich nicht vorgesehen. Der Gemeindepräsident und die Gemeindeschreiberin waren somit befugt, die betreffende Rückerstattungsverfügung zu unterzeichnen. Art. 97 Abs. 2 GemG sieht zwar vor, dass die Urkunden die Verfügungen der zuständigen Organe er-</w:t>
      </w:r>
    </w:p>
    <w:p>
      <w:r>
        <w:t>- 6 - wähnen müssen, auf Grund derer sie ausgefertigt wurden. Soweit demnach die Tatsa- che, dass der entsprechende Gemeinderatsbeschluss in der Verfügung nicht erwähnt wird, einen Mangel darstellen sollte, ist dieser jedoch nicht als gravierend zu bezeichnen und berechtigt einzig zur Anfechtung der Verfügung. Eine offensichtliche funktionelle oder sachliche Unzuständigkeit, die zur Nichtigkeit führt, ist in der aktenkundigen Verfü- gung deshalb gerade nicht zu erblicken. Insbesondere hat die Vorinstanz zutreffend fest- gehalten, dass die Gemeinde Y _________ für den Erlass der Rückerstattungsverfügung zuständig ist, was selbst vom Beschwerdeführer im Grundsatz nicht bestritten wurde. Eine Nichtigkeit lässt sich allein aufgrund des in der Verfügung nicht erwähnten Gemein- deratsbeschluss folglich nicht bejahen. Auch sonst bestehen keine ernsthaften Hinweise in diese Richtung.</w:t>
      </w:r>
    </w:p>
    <w:p>
      <w:r>
        <w:rPr>
          <w:b/>
        </w:rPr>
        <w:t>E. 3</w:t>
      </w:r>
    </w:p>
    <w:p>
      <w:r>
        <w:t>X _________ bezahlt der Einwohnergemeinde Y _________ eine Parteientschädi- gung von Fr. 300.00.</w:t>
      </w:r>
    </w:p>
    <w:p>
      <w:r>
        <w:t>Sitten, 10. März 2023</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 nach dem Verfahrensausgang, vorliegend dem Beschwerdeführer (Art. 106 Abs. 1 ZPO).</w:t>
      </w:r>
    </w:p>
    <w:p>
      <w:r>
        <w:rPr>
          <w:b/>
        </w:rPr>
        <w:t>E. 3.2</w:t>
      </w:r>
    </w:p>
    <w:p>
      <w:r>
        <w:t>Die Gebührenverordnung zum Bundesgesetz über Schuldbetreibung und Konkurs vom 23. September 1996 (GebV SchKG) sieht gemäss Art. 48 in betreibungsrechtlichen Summarsachen für einen Streitwert von Fr. 10'000.00 bis zu Fr. 100'000.00 eine Spruch- gebühr von Fr. 60.00 bis Fr. 500.00 vor. Die Gerichtsgebühr ist aufgrund des Streitwer- tes, des Umfangs und der Schwierigkeit des Falls, der Art der Prozessführung der Par- teien, ihrer finanziellen Situation sowie nach dem Kostendeckungs- und Äquivalenzprin- zip festzusetzen (Art. 13 Abs. 1 GTar). Das Bezirksgericht hat die Gerichtskosten erstinstanzlich auf Fr. 400.00 festgesetzt, was nicht gerügt worden ist und angemessen erscheint.</w:t>
      </w:r>
    </w:p>
    <w:p>
      <w:r>
        <w:rPr>
          <w:b/>
        </w:rPr>
        <w:t>E. 3.3</w:t>
      </w:r>
    </w:p>
    <w:p>
      <w:r>
        <w:t>Nach Art. 61 GebV SchKG kann das obere Gericht, an das eine betreibungsrechtli- che Summarsache weitergezogen wird, für seinen Entscheid eine Gebühr erheben, die höchstens das Anderthalbfache der für die Vorinstanz zulässigen Gebühr beträgt (Art. 48 GebV SchkG), d.h. vorliegend maximal Fr. 750.00. Aufgrund der vorerwähnten Kriterien und unter Berücksichtigung, dass das Dossier nicht umfangreich war, rechtfertigt es sich, die Gerichtskosten auf Fr. 400.00 festzulegen (Art. 61 Abs. 1 i.V.m. Art. 48 GebV SchKG). Die Gerichtskosten sind ausgangsgemäss dem</w:t>
      </w:r>
    </w:p>
    <w:p>
      <w:r>
        <w:t>- 7 - Beschwerdeführer aufzuerlegen und mit dem von ihm in entsprechender Höhe geleiste- ten Vorschuss zu verrechnen (Art. 111 ZPO).</w:t>
      </w:r>
    </w:p>
    <w:p>
      <w:r>
        <w:rPr>
          <w:b/>
        </w:rPr>
        <w:t>E. 3.4</w:t>
      </w:r>
    </w:p>
    <w:p>
      <w:r>
        <w:t>Die Parteientschädigung umfasst den Ersatz notwendiger Auslagen und die Kosten einer berufsmässigen Vertretung sowie in begründeten Fällen eine angemessene Um- triebsentschädigung, wenn eine Partei nicht berufsmässig vertreten ist (Art. 95 Abs. 3 ZPO). Die anwaltlich vertretene Partei, welche obsiegt, hat damit Anspruch auf eine Par- teientschädigung, wenn sie eine solche beantragt hat (Art. 106 Abs. 1 i.V.m. Art. 95 Abs. 1 und 3 ZPO).</w:t>
      </w:r>
    </w:p>
    <w:p>
      <w:r>
        <w:rPr>
          <w:b/>
        </w:rPr>
        <w:t>E. 3.4.1</w:t>
      </w:r>
    </w:p>
    <w:p>
      <w:r>
        <w:t>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Streitigkeiten, die im Bereich des SchKG zu einer Entschädigung berechtigen, wird das Anwaltshonorar zwi- schen Fr. 250.00 und Fr. 3'300.00 festgesetzt (Art. 33 GTar). Die Vorinstanz hat die Entschädigung auf Fr. 300.00 bemessen, was nicht zu beanstanden ist. Diese Partei- entschädigung schuldet der Beschwerdeführer dem Beschwerdegegner.</w:t>
      </w:r>
    </w:p>
    <w:p>
      <w:r>
        <w:rPr>
          <w:b/>
        </w:rPr>
        <w:t>E. 3.4.2</w:t>
      </w:r>
    </w:p>
    <w:p>
      <w:r>
        <w:t>Gestützt auf die vorerwähnten Kriterien und mit Blick auf die von den Parteien eingereichten Rechtsschriften, rechtfertigt sich für das Beschwerdeverfahren eine volle Parteientschädigung von Fr. 300.00 (inkl. Auslagen und MWST). Entsprechend dem Verfahrensausgang schuldet der Beschwerdeführer der Beschwerdegegnerin diese Par- teientschädigung.</w:t>
      </w:r>
    </w:p>
    <w:p>
      <w:r>
        <w:t>Das Kantonsgericht erkennt 1. Die Beschwerde wird abgewiesen. 2. Die Gerichtskosten des vorliegenden Verfahrens, bestimmt auf Fr. 400.00, werden X _________ auferlegt und mit dem von ihm geleisteten Kostenvorschuss in glei- 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